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6E" w:rsidRDefault="0032316E" w:rsidP="00785057">
      <w:pPr>
        <w:pStyle w:val="Header"/>
        <w:tabs>
          <w:tab w:val="left" w:pos="764"/>
          <w:tab w:val="center" w:pos="4680"/>
        </w:tabs>
        <w:jc w:val="center"/>
        <w:rPr>
          <w:rFonts w:ascii="Palatino" w:hAnsi="Palatino"/>
          <w:sz w:val="32"/>
          <w:szCs w:val="32"/>
        </w:rPr>
      </w:pPr>
    </w:p>
    <w:p w:rsidR="00FF281A" w:rsidRPr="000F5026" w:rsidRDefault="00FF281A" w:rsidP="00785057">
      <w:pPr>
        <w:pStyle w:val="Header"/>
        <w:tabs>
          <w:tab w:val="left" w:pos="764"/>
          <w:tab w:val="center" w:pos="4680"/>
        </w:tabs>
        <w:jc w:val="center"/>
        <w:rPr>
          <w:rFonts w:ascii="Palatino" w:hAnsi="Palatino"/>
          <w:sz w:val="36"/>
          <w:szCs w:val="36"/>
          <w:u w:val="single"/>
        </w:rPr>
      </w:pPr>
    </w:p>
    <w:p w:rsidR="00523E89" w:rsidRDefault="00523E89" w:rsidP="00523E89">
      <w:pPr>
        <w:rPr>
          <w:sz w:val="22"/>
          <w:szCs w:val="22"/>
        </w:rPr>
      </w:pPr>
      <w:r w:rsidRPr="001F3275">
        <w:rPr>
          <w:b/>
          <w:sz w:val="22"/>
          <w:szCs w:val="22"/>
        </w:rPr>
        <w:t>Title:</w:t>
      </w:r>
      <w:r w:rsidRPr="001F3275">
        <w:rPr>
          <w:sz w:val="22"/>
          <w:szCs w:val="22"/>
        </w:rPr>
        <w:t xml:space="preserve">    Solar Photovoltaic Manufacturing Facility to Enable a Significant Manufacturing Enterprise within the State and Provide Clean Renewable </w:t>
      </w:r>
      <w:r w:rsidR="00EA1A03">
        <w:rPr>
          <w:sz w:val="22"/>
          <w:szCs w:val="22"/>
        </w:rPr>
        <w:t>E</w:t>
      </w:r>
      <w:r w:rsidRPr="001F3275">
        <w:rPr>
          <w:sz w:val="22"/>
          <w:szCs w:val="22"/>
        </w:rPr>
        <w:t>nergy</w:t>
      </w:r>
    </w:p>
    <w:p w:rsidR="00523E89" w:rsidRPr="001F3275" w:rsidRDefault="00523E89" w:rsidP="00523E89">
      <w:pPr>
        <w:rPr>
          <w:sz w:val="22"/>
          <w:szCs w:val="22"/>
        </w:rPr>
      </w:pPr>
    </w:p>
    <w:p w:rsidR="00523E89" w:rsidRDefault="00523E89" w:rsidP="00523E89">
      <w:pPr>
        <w:tabs>
          <w:tab w:val="left" w:pos="1417"/>
        </w:tabs>
        <w:rPr>
          <w:sz w:val="22"/>
          <w:szCs w:val="22"/>
        </w:rPr>
      </w:pPr>
      <w:r w:rsidRPr="001F3275">
        <w:rPr>
          <w:b/>
          <w:sz w:val="22"/>
          <w:szCs w:val="22"/>
        </w:rPr>
        <w:t>PI:</w:t>
      </w:r>
      <w:r w:rsidRPr="001F3275">
        <w:rPr>
          <w:sz w:val="22"/>
          <w:szCs w:val="22"/>
        </w:rPr>
        <w:t xml:space="preserve">  Don L. Morel (USF)</w:t>
      </w:r>
      <w:r>
        <w:rPr>
          <w:sz w:val="22"/>
          <w:szCs w:val="22"/>
        </w:rPr>
        <w:t xml:space="preserve">; </w:t>
      </w:r>
      <w:r w:rsidRPr="00F27D67">
        <w:rPr>
          <w:b/>
          <w:sz w:val="22"/>
          <w:szCs w:val="22"/>
        </w:rPr>
        <w:t>Co-PI</w:t>
      </w:r>
      <w:r>
        <w:rPr>
          <w:sz w:val="22"/>
          <w:szCs w:val="22"/>
        </w:rPr>
        <w:t xml:space="preserve">: Chris </w:t>
      </w:r>
      <w:proofErr w:type="gramStart"/>
      <w:r>
        <w:rPr>
          <w:sz w:val="22"/>
          <w:szCs w:val="22"/>
        </w:rPr>
        <w:t>Ferekides(</w:t>
      </w:r>
      <w:proofErr w:type="gramEnd"/>
      <w:r>
        <w:rPr>
          <w:sz w:val="22"/>
          <w:szCs w:val="22"/>
        </w:rPr>
        <w:t>USF), Lee Stefanakos(USF)</w:t>
      </w:r>
    </w:p>
    <w:p w:rsidR="00523E89" w:rsidRPr="001F3275" w:rsidRDefault="00523E89" w:rsidP="00523E89">
      <w:pPr>
        <w:tabs>
          <w:tab w:val="left" w:pos="1417"/>
        </w:tabs>
        <w:rPr>
          <w:sz w:val="22"/>
          <w:szCs w:val="22"/>
        </w:rPr>
      </w:pPr>
    </w:p>
    <w:p w:rsidR="00523E89" w:rsidRDefault="00523E89" w:rsidP="00523E89">
      <w:pPr>
        <w:jc w:val="both"/>
        <w:rPr>
          <w:sz w:val="22"/>
          <w:szCs w:val="22"/>
        </w:rPr>
      </w:pPr>
      <w:r w:rsidRPr="001F3275">
        <w:rPr>
          <w:b/>
          <w:sz w:val="22"/>
          <w:szCs w:val="22"/>
        </w:rPr>
        <w:t xml:space="preserve">Description:  </w:t>
      </w:r>
      <w:r w:rsidRPr="001F3275">
        <w:rPr>
          <w:sz w:val="22"/>
          <w:szCs w:val="22"/>
        </w:rPr>
        <w:t xml:space="preserve"> The primary goal of this project is to enable the establishment and success of local solar photovoltaic manufacturing companies to produce clean energy products for use within the state and beyond and to generate jobs and the skilled workforce needed for them. Thin film technologies have shown record efficiencies of </w:t>
      </w:r>
      <w:r>
        <w:rPr>
          <w:sz w:val="22"/>
          <w:szCs w:val="22"/>
        </w:rPr>
        <w:t>20</w:t>
      </w:r>
      <w:r w:rsidRPr="001F3275">
        <w:rPr>
          <w:sz w:val="22"/>
          <w:szCs w:val="22"/>
        </w:rPr>
        <w:t>%, and present tremendous opportunities for new Florida start-up companies. USF, UCF, and UF are collaborating to develop a pilot line facility for thin film solar technologies, which will serve as a test bed for making ongoing improvements in productivity and performance of solar modules, develop advanced manufacturing protocols, and help train a skilled workforce to ensure the success of new companies.</w:t>
      </w:r>
    </w:p>
    <w:p w:rsidR="00523E89" w:rsidRPr="001F3275" w:rsidRDefault="00523E89" w:rsidP="00523E89">
      <w:pPr>
        <w:jc w:val="both"/>
        <w:rPr>
          <w:sz w:val="22"/>
          <w:szCs w:val="22"/>
        </w:rPr>
      </w:pPr>
    </w:p>
    <w:p w:rsidR="00523E89" w:rsidRDefault="00523E89" w:rsidP="00523E89">
      <w:pPr>
        <w:tabs>
          <w:tab w:val="left" w:pos="1417"/>
        </w:tabs>
        <w:rPr>
          <w:sz w:val="22"/>
          <w:szCs w:val="22"/>
        </w:rPr>
      </w:pPr>
      <w:r w:rsidRPr="001F3275">
        <w:rPr>
          <w:b/>
          <w:sz w:val="22"/>
          <w:szCs w:val="22"/>
        </w:rPr>
        <w:t xml:space="preserve">Budget: </w:t>
      </w:r>
      <w:r w:rsidRPr="001F3275">
        <w:rPr>
          <w:sz w:val="22"/>
          <w:szCs w:val="22"/>
        </w:rPr>
        <w:t xml:space="preserve"> $</w:t>
      </w:r>
      <w:r>
        <w:rPr>
          <w:sz w:val="22"/>
          <w:szCs w:val="22"/>
        </w:rPr>
        <w:t>1.6</w:t>
      </w:r>
      <w:r w:rsidRPr="001F3275">
        <w:rPr>
          <w:sz w:val="22"/>
          <w:szCs w:val="22"/>
        </w:rPr>
        <w:t>M</w:t>
      </w:r>
    </w:p>
    <w:p w:rsidR="00523E89" w:rsidRPr="001F3275" w:rsidRDefault="00523E89" w:rsidP="00523E89">
      <w:pPr>
        <w:tabs>
          <w:tab w:val="left" w:pos="1417"/>
        </w:tabs>
        <w:rPr>
          <w:sz w:val="22"/>
          <w:szCs w:val="22"/>
        </w:rPr>
      </w:pPr>
    </w:p>
    <w:p w:rsidR="00523E89" w:rsidRDefault="00523E89" w:rsidP="00523E89">
      <w:pPr>
        <w:tabs>
          <w:tab w:val="left" w:pos="1417"/>
        </w:tabs>
        <w:rPr>
          <w:sz w:val="22"/>
          <w:szCs w:val="22"/>
        </w:rPr>
      </w:pPr>
      <w:r w:rsidRPr="001F3275">
        <w:rPr>
          <w:b/>
          <w:sz w:val="22"/>
          <w:szCs w:val="22"/>
        </w:rPr>
        <w:t xml:space="preserve">Universities: </w:t>
      </w:r>
      <w:r w:rsidRPr="001F3275">
        <w:rPr>
          <w:sz w:val="22"/>
          <w:szCs w:val="22"/>
        </w:rPr>
        <w:t xml:space="preserve"> U</w:t>
      </w:r>
      <w:r>
        <w:rPr>
          <w:sz w:val="22"/>
          <w:szCs w:val="22"/>
        </w:rPr>
        <w:t>S</w:t>
      </w:r>
      <w:r w:rsidRPr="001F3275">
        <w:rPr>
          <w:sz w:val="22"/>
          <w:szCs w:val="22"/>
        </w:rPr>
        <w:t>F</w:t>
      </w:r>
    </w:p>
    <w:p w:rsidR="00523E89" w:rsidRDefault="00523E89" w:rsidP="00523E89">
      <w:pPr>
        <w:tabs>
          <w:tab w:val="left" w:pos="1417"/>
        </w:tabs>
        <w:rPr>
          <w:sz w:val="22"/>
          <w:szCs w:val="22"/>
        </w:rPr>
      </w:pPr>
    </w:p>
    <w:p w:rsidR="00523E89" w:rsidRDefault="00523E89" w:rsidP="00523E89">
      <w:pPr>
        <w:tabs>
          <w:tab w:val="left" w:pos="1417"/>
        </w:tabs>
        <w:rPr>
          <w:sz w:val="22"/>
          <w:szCs w:val="22"/>
        </w:rPr>
      </w:pPr>
      <w:r w:rsidRPr="00B07D65">
        <w:rPr>
          <w:b/>
          <w:sz w:val="22"/>
          <w:szCs w:val="22"/>
        </w:rPr>
        <w:t>Students:</w:t>
      </w:r>
      <w:r>
        <w:rPr>
          <w:b/>
          <w:sz w:val="22"/>
          <w:szCs w:val="22"/>
        </w:rPr>
        <w:t xml:space="preserve"> </w:t>
      </w:r>
      <w:r w:rsidRPr="00B07D65">
        <w:rPr>
          <w:sz w:val="22"/>
          <w:szCs w:val="22"/>
        </w:rPr>
        <w:t xml:space="preserve">Currently one Ph.D. and two MS </w:t>
      </w:r>
      <w:r>
        <w:rPr>
          <w:sz w:val="22"/>
          <w:szCs w:val="22"/>
        </w:rPr>
        <w:t xml:space="preserve">Electrical Engineering </w:t>
      </w:r>
      <w:r w:rsidRPr="00B07D65">
        <w:rPr>
          <w:sz w:val="22"/>
          <w:szCs w:val="22"/>
        </w:rPr>
        <w:t>students are being supported by the project</w:t>
      </w:r>
    </w:p>
    <w:p w:rsidR="00523E89" w:rsidRPr="00B07D65" w:rsidRDefault="00523E89" w:rsidP="00523E89">
      <w:pPr>
        <w:tabs>
          <w:tab w:val="left" w:pos="1417"/>
        </w:tabs>
        <w:rPr>
          <w:sz w:val="22"/>
          <w:szCs w:val="22"/>
        </w:rPr>
      </w:pPr>
    </w:p>
    <w:p w:rsidR="00523E89" w:rsidRPr="001F3275" w:rsidRDefault="00523E89" w:rsidP="00523E89">
      <w:pPr>
        <w:rPr>
          <w:sz w:val="22"/>
          <w:szCs w:val="22"/>
        </w:rPr>
      </w:pPr>
      <w:r w:rsidRPr="001F3275">
        <w:rPr>
          <w:b/>
          <w:sz w:val="22"/>
          <w:szCs w:val="22"/>
        </w:rPr>
        <w:t>External Collaborators:</w:t>
      </w:r>
      <w:r w:rsidRPr="001F3275">
        <w:rPr>
          <w:sz w:val="22"/>
          <w:szCs w:val="22"/>
        </w:rPr>
        <w:t xml:space="preserve">   </w:t>
      </w:r>
      <w:proofErr w:type="spellStart"/>
      <w:r w:rsidRPr="001F3275">
        <w:rPr>
          <w:sz w:val="22"/>
          <w:szCs w:val="22"/>
        </w:rPr>
        <w:t>NovaRay</w:t>
      </w:r>
      <w:proofErr w:type="spellEnd"/>
      <w:r w:rsidRPr="001F3275">
        <w:rPr>
          <w:sz w:val="22"/>
          <w:szCs w:val="22"/>
        </w:rPr>
        <w:t xml:space="preserve"> Solar, Bedford, MA; </w:t>
      </w:r>
      <w:proofErr w:type="spellStart"/>
      <w:r w:rsidRPr="001F3275">
        <w:rPr>
          <w:sz w:val="22"/>
          <w:szCs w:val="22"/>
        </w:rPr>
        <w:t>Brightwats</w:t>
      </w:r>
      <w:proofErr w:type="spellEnd"/>
      <w:r w:rsidRPr="001F3275">
        <w:rPr>
          <w:sz w:val="22"/>
          <w:szCs w:val="22"/>
        </w:rPr>
        <w:t>, Inc., Ft. Lauderdale, FL; US Department of Energy, National Renewable Energy Lab</w:t>
      </w:r>
    </w:p>
    <w:p w:rsidR="00523E89" w:rsidRPr="001F3275" w:rsidRDefault="00523E89" w:rsidP="00523E89">
      <w:pPr>
        <w:rPr>
          <w:sz w:val="22"/>
          <w:szCs w:val="22"/>
        </w:rPr>
      </w:pPr>
    </w:p>
    <w:p w:rsidR="00523E89" w:rsidRPr="001F3275" w:rsidRDefault="00523E89" w:rsidP="00523E89">
      <w:pPr>
        <w:rPr>
          <w:sz w:val="22"/>
          <w:szCs w:val="22"/>
        </w:rPr>
      </w:pPr>
    </w:p>
    <w:p w:rsidR="00F1686E" w:rsidRDefault="00F1686E">
      <w:pPr>
        <w:rPr>
          <w:sz w:val="22"/>
          <w:szCs w:val="22"/>
        </w:rPr>
      </w:pPr>
      <w:r>
        <w:rPr>
          <w:sz w:val="22"/>
          <w:szCs w:val="22"/>
        </w:rPr>
        <w:br w:type="page"/>
      </w:r>
    </w:p>
    <w:p w:rsidR="0032316E" w:rsidRDefault="0032316E" w:rsidP="004F0AB6">
      <w:pPr>
        <w:tabs>
          <w:tab w:val="left" w:pos="0"/>
        </w:tabs>
        <w:rPr>
          <w:sz w:val="22"/>
          <w:szCs w:val="22"/>
        </w:rPr>
      </w:pPr>
    </w:p>
    <w:p w:rsidR="00E3692C" w:rsidRDefault="000F5026" w:rsidP="00E3692C">
      <w:pPr>
        <w:pStyle w:val="ListParagraph"/>
        <w:numPr>
          <w:ilvl w:val="0"/>
          <w:numId w:val="8"/>
        </w:numPr>
        <w:tabs>
          <w:tab w:val="left" w:pos="0"/>
        </w:tabs>
        <w:jc w:val="center"/>
        <w:rPr>
          <w:b/>
          <w:sz w:val="22"/>
          <w:szCs w:val="22"/>
        </w:rPr>
      </w:pPr>
      <w:r w:rsidRPr="00E3692C">
        <w:rPr>
          <w:b/>
          <w:sz w:val="22"/>
          <w:szCs w:val="22"/>
        </w:rPr>
        <w:t>Summary</w:t>
      </w:r>
      <w:r>
        <w:rPr>
          <w:b/>
          <w:sz w:val="22"/>
          <w:szCs w:val="22"/>
        </w:rPr>
        <w:t xml:space="preserve"> of</w:t>
      </w:r>
      <w:r w:rsidRPr="00E3692C">
        <w:rPr>
          <w:b/>
          <w:sz w:val="22"/>
          <w:szCs w:val="22"/>
        </w:rPr>
        <w:t xml:space="preserve"> </w:t>
      </w:r>
      <w:r w:rsidR="00E3692C" w:rsidRPr="00E3692C">
        <w:rPr>
          <w:b/>
          <w:sz w:val="22"/>
          <w:szCs w:val="22"/>
        </w:rPr>
        <w:t>Progress (</w:t>
      </w:r>
      <w:r w:rsidR="00DE308C">
        <w:rPr>
          <w:b/>
          <w:sz w:val="22"/>
          <w:szCs w:val="22"/>
        </w:rPr>
        <w:t>1</w:t>
      </w:r>
      <w:r w:rsidR="00E3692C" w:rsidRPr="00E3692C">
        <w:rPr>
          <w:b/>
          <w:sz w:val="22"/>
          <w:szCs w:val="22"/>
        </w:rPr>
        <w:t xml:space="preserve"> Page)</w:t>
      </w:r>
    </w:p>
    <w:p w:rsidR="005155FC" w:rsidRDefault="005155FC" w:rsidP="005155FC">
      <w:pPr>
        <w:tabs>
          <w:tab w:val="left" w:pos="0"/>
        </w:tabs>
        <w:ind w:left="360"/>
        <w:rPr>
          <w:sz w:val="22"/>
          <w:szCs w:val="22"/>
        </w:rPr>
      </w:pPr>
    </w:p>
    <w:p w:rsidR="005155FC" w:rsidRDefault="00FB3769" w:rsidP="005155FC">
      <w:pPr>
        <w:tabs>
          <w:tab w:val="left" w:pos="0"/>
        </w:tabs>
        <w:ind w:left="720"/>
        <w:rPr>
          <w:b/>
          <w:sz w:val="22"/>
          <w:szCs w:val="22"/>
        </w:rPr>
      </w:pPr>
      <w:r>
        <w:rPr>
          <w:b/>
          <w:sz w:val="22"/>
          <w:szCs w:val="22"/>
        </w:rPr>
        <w:t>Thin Film Pilot Line</w:t>
      </w:r>
    </w:p>
    <w:p w:rsidR="00FB3769" w:rsidRDefault="00FB3769" w:rsidP="005155FC">
      <w:pPr>
        <w:tabs>
          <w:tab w:val="left" w:pos="0"/>
        </w:tabs>
        <w:ind w:left="720"/>
        <w:rPr>
          <w:b/>
          <w:sz w:val="22"/>
          <w:szCs w:val="22"/>
        </w:rPr>
      </w:pPr>
    </w:p>
    <w:p w:rsidR="00883A19" w:rsidRDefault="00FB3769" w:rsidP="00341F15">
      <w:pPr>
        <w:tabs>
          <w:tab w:val="left" w:pos="0"/>
        </w:tabs>
        <w:ind w:left="720"/>
        <w:jc w:val="both"/>
        <w:rPr>
          <w:sz w:val="22"/>
          <w:szCs w:val="22"/>
        </w:rPr>
      </w:pPr>
      <w:r>
        <w:rPr>
          <w:sz w:val="22"/>
          <w:szCs w:val="22"/>
        </w:rPr>
        <w:tab/>
        <w:t xml:space="preserve">The base upgrade build-out of the lab facility has been completed. Of greatest significance is the installation of electrical power to handle the power demands of the processing equipment. The air supply and exhaust systems were upgraded to allow installation of two large walk in hoods, and provisions for a third hood have been included in the ducting. An overhead raceway has been installed to accommodate distribution of the utility services to the processing equipment. </w:t>
      </w:r>
      <w:r w:rsidR="00883A19">
        <w:rPr>
          <w:sz w:val="22"/>
          <w:szCs w:val="22"/>
        </w:rPr>
        <w:t>Lab specific upgrades are still underway. These include compressed air, distilled water and chilled water supplies. The primary pace setter is the chilled water unit. It is on order and delivery is expected shortly. The plumbing and wiring for the unit have been installed. Once the unit is received it will be installed and the lab upgrade by the outside contractor will be completed. This should occur before the end of June.</w:t>
      </w:r>
    </w:p>
    <w:p w:rsidR="00883A19" w:rsidRDefault="00883A19" w:rsidP="00341F15">
      <w:pPr>
        <w:tabs>
          <w:tab w:val="left" w:pos="0"/>
        </w:tabs>
        <w:ind w:left="720"/>
        <w:jc w:val="both"/>
        <w:rPr>
          <w:sz w:val="22"/>
          <w:szCs w:val="22"/>
        </w:rPr>
      </w:pPr>
    </w:p>
    <w:p w:rsidR="00C921FC" w:rsidRDefault="00883A19" w:rsidP="00341F15">
      <w:pPr>
        <w:tabs>
          <w:tab w:val="left" w:pos="0"/>
        </w:tabs>
        <w:ind w:left="720"/>
        <w:jc w:val="both"/>
        <w:rPr>
          <w:sz w:val="22"/>
          <w:szCs w:val="22"/>
        </w:rPr>
      </w:pPr>
      <w:r>
        <w:rPr>
          <w:sz w:val="22"/>
          <w:szCs w:val="22"/>
        </w:rPr>
        <w:tab/>
        <w:t xml:space="preserve">The central processing unit for CIGS has been designed. Further progress in building the unit is awaiting completion of a partnership agreement with a local company. Once the agreement is signed we will work with the company to refine the design to include vacuum processing capabilities that they will contribute to the partnership. </w:t>
      </w:r>
      <w:r w:rsidR="004F6552">
        <w:rPr>
          <w:sz w:val="22"/>
          <w:szCs w:val="22"/>
        </w:rPr>
        <w:t xml:space="preserve">We are nearing the last stages of negotiating the partnership agreement and expect sign-off to also occur by June. </w:t>
      </w:r>
    </w:p>
    <w:p w:rsidR="00C921FC" w:rsidRDefault="00C921FC" w:rsidP="00341F15">
      <w:pPr>
        <w:tabs>
          <w:tab w:val="left" w:pos="0"/>
        </w:tabs>
        <w:ind w:left="720"/>
        <w:jc w:val="both"/>
        <w:rPr>
          <w:sz w:val="22"/>
          <w:szCs w:val="22"/>
        </w:rPr>
      </w:pPr>
    </w:p>
    <w:p w:rsidR="00C921FC" w:rsidRDefault="00C921FC" w:rsidP="00341F15">
      <w:pPr>
        <w:tabs>
          <w:tab w:val="left" w:pos="0"/>
        </w:tabs>
        <w:ind w:left="720"/>
        <w:jc w:val="both"/>
        <w:rPr>
          <w:b/>
          <w:sz w:val="22"/>
          <w:szCs w:val="22"/>
        </w:rPr>
      </w:pPr>
      <w:r>
        <w:rPr>
          <w:b/>
          <w:sz w:val="22"/>
          <w:szCs w:val="22"/>
        </w:rPr>
        <w:t>Lab Scale Experiments</w:t>
      </w:r>
    </w:p>
    <w:p w:rsidR="00C921FC" w:rsidRDefault="00C921FC" w:rsidP="00341F15">
      <w:pPr>
        <w:tabs>
          <w:tab w:val="left" w:pos="0"/>
        </w:tabs>
        <w:ind w:left="720"/>
        <w:jc w:val="both"/>
        <w:rPr>
          <w:b/>
          <w:sz w:val="22"/>
          <w:szCs w:val="22"/>
        </w:rPr>
      </w:pPr>
    </w:p>
    <w:p w:rsidR="00E3692C" w:rsidRDefault="00397A36" w:rsidP="003641A5">
      <w:pPr>
        <w:tabs>
          <w:tab w:val="left" w:pos="0"/>
        </w:tabs>
        <w:ind w:left="720"/>
        <w:jc w:val="both"/>
        <w:rPr>
          <w:b/>
          <w:sz w:val="22"/>
          <w:szCs w:val="22"/>
        </w:rPr>
      </w:pPr>
      <w:r w:rsidRPr="00397A36">
        <w:rPr>
          <w:noProof/>
        </w:rPr>
        <w:pict>
          <v:shapetype id="_x0000_t202" coordsize="21600,21600" o:spt="202" path="m,l,21600r21600,l21600,xe">
            <v:stroke joinstyle="miter"/>
            <v:path gradientshapeok="t" o:connecttype="rect"/>
          </v:shapetype>
          <v:shape id="_x0000_s1026" type="#_x0000_t202" style="position:absolute;left:0;text-align:left;margin-left:216.9pt;margin-top:224.75pt;width:249.3pt;height:.05pt;z-index:251660288" stroked="f">
            <v:textbox style="mso-fit-shape-to-text:t" inset="0,0,0,0">
              <w:txbxContent>
                <w:p w:rsidR="00D0252B" w:rsidRPr="003A04F1" w:rsidRDefault="00D0252B" w:rsidP="00D0252B">
                  <w:pPr>
                    <w:pStyle w:val="Caption"/>
                    <w:rPr>
                      <w:sz w:val="24"/>
                    </w:rPr>
                  </w:pPr>
                  <w:proofErr w:type="gramStart"/>
                  <w:r>
                    <w:t xml:space="preserve">Figure </w:t>
                  </w:r>
                  <w:fldSimple w:instr=" SEQ Figure \* ARABIC ">
                    <w:r>
                      <w:rPr>
                        <w:noProof/>
                      </w:rPr>
                      <w:t>1</w:t>
                    </w:r>
                  </w:fldSimple>
                  <w:r>
                    <w:t>.</w:t>
                  </w:r>
                  <w:proofErr w:type="gramEnd"/>
                  <w:r>
                    <w:t xml:space="preserve"> Se incorporation as a function of the Se to metal flux ratio in a growing CIGS film.</w:t>
                  </w:r>
                </w:p>
              </w:txbxContent>
            </v:textbox>
            <w10:wrap type="square"/>
          </v:shape>
        </w:pict>
      </w:r>
      <w:r w:rsidR="008F100C" w:rsidRPr="008F100C">
        <w:rPr>
          <w:noProof/>
          <w:szCs w:val="22"/>
        </w:rPr>
        <w:drawing>
          <wp:anchor distT="0" distB="0" distL="114300" distR="114300" simplePos="0" relativeHeight="251658240" behindDoc="0" locked="0" layoutInCell="1" allowOverlap="1">
            <wp:simplePos x="0" y="0"/>
            <wp:positionH relativeFrom="column">
              <wp:posOffset>2754630</wp:posOffset>
            </wp:positionH>
            <wp:positionV relativeFrom="paragraph">
              <wp:posOffset>69215</wp:posOffset>
            </wp:positionV>
            <wp:extent cx="3166110" cy="272796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66110" cy="2727960"/>
                    </a:xfrm>
                    <a:prstGeom prst="rect">
                      <a:avLst/>
                    </a:prstGeom>
                    <a:noFill/>
                    <a:ln w="9525">
                      <a:noFill/>
                      <a:miter lim="800000"/>
                      <a:headEnd/>
                      <a:tailEnd/>
                    </a:ln>
                  </pic:spPr>
                </pic:pic>
              </a:graphicData>
            </a:graphic>
          </wp:anchor>
        </w:drawing>
      </w:r>
      <w:r w:rsidR="008F100C">
        <w:rPr>
          <w:sz w:val="22"/>
          <w:szCs w:val="22"/>
        </w:rPr>
        <w:tab/>
      </w:r>
      <w:r w:rsidR="008F100C">
        <w:rPr>
          <w:sz w:val="22"/>
          <w:szCs w:val="22"/>
        </w:rPr>
        <w:br/>
        <w:t xml:space="preserve">In designing a large area processing unit one of the primary concerns is the efficient use of raw materials. In this regard </w:t>
      </w:r>
      <w:proofErr w:type="gramStart"/>
      <w:r w:rsidR="008F100C">
        <w:rPr>
          <w:sz w:val="22"/>
          <w:szCs w:val="22"/>
        </w:rPr>
        <w:t>In</w:t>
      </w:r>
      <w:proofErr w:type="gramEnd"/>
      <w:r w:rsidR="008F100C">
        <w:rPr>
          <w:sz w:val="22"/>
          <w:szCs w:val="22"/>
        </w:rPr>
        <w:t xml:space="preserve"> and </w:t>
      </w:r>
      <w:proofErr w:type="spellStart"/>
      <w:r w:rsidR="008F100C">
        <w:rPr>
          <w:sz w:val="22"/>
          <w:szCs w:val="22"/>
        </w:rPr>
        <w:t>Ga</w:t>
      </w:r>
      <w:proofErr w:type="spellEnd"/>
      <w:r w:rsidR="008F100C">
        <w:rPr>
          <w:sz w:val="22"/>
          <w:szCs w:val="22"/>
        </w:rPr>
        <w:t xml:space="preserve"> are a particular concern for CIGS because of potential price increases as manufacturing gets scaled up to </w:t>
      </w:r>
      <w:proofErr w:type="spellStart"/>
      <w:r w:rsidR="008F100C">
        <w:rPr>
          <w:sz w:val="22"/>
          <w:szCs w:val="22"/>
        </w:rPr>
        <w:t>Gigawatt</w:t>
      </w:r>
      <w:proofErr w:type="spellEnd"/>
      <w:r w:rsidR="008F100C">
        <w:rPr>
          <w:sz w:val="22"/>
          <w:szCs w:val="22"/>
        </w:rPr>
        <w:t xml:space="preserve"> levels. </w:t>
      </w:r>
      <w:r w:rsidR="00D0252B">
        <w:rPr>
          <w:sz w:val="22"/>
          <w:szCs w:val="22"/>
        </w:rPr>
        <w:t xml:space="preserve">To address this concern we have been conducting lab scale experiments to help guide our design of the large processing unit. Another concern that we are addressing is Se utilization. While it is not nearly as expensive as In and </w:t>
      </w:r>
      <w:proofErr w:type="spellStart"/>
      <w:r w:rsidR="00D0252B">
        <w:rPr>
          <w:sz w:val="22"/>
          <w:szCs w:val="22"/>
        </w:rPr>
        <w:t>Ga</w:t>
      </w:r>
      <w:proofErr w:type="spellEnd"/>
      <w:r w:rsidR="00D0252B">
        <w:rPr>
          <w:sz w:val="22"/>
          <w:szCs w:val="22"/>
        </w:rPr>
        <w:t>, as shown in the figure</w:t>
      </w:r>
      <w:r w:rsidR="00341F15">
        <w:rPr>
          <w:sz w:val="22"/>
          <w:szCs w:val="22"/>
        </w:rPr>
        <w:t>,</w:t>
      </w:r>
      <w:r w:rsidR="00D0252B">
        <w:rPr>
          <w:sz w:val="22"/>
          <w:szCs w:val="22"/>
        </w:rPr>
        <w:t xml:space="preserve"> to incorporate the needed 50 atomic per cent Se in the growing film can require Se flux levels in large multiples of the metal flux. </w:t>
      </w:r>
      <w:r w:rsidR="00FB3769">
        <w:rPr>
          <w:sz w:val="22"/>
          <w:szCs w:val="22"/>
        </w:rPr>
        <w:t xml:space="preserve"> </w:t>
      </w:r>
      <w:r w:rsidR="00D0252B">
        <w:rPr>
          <w:sz w:val="22"/>
          <w:szCs w:val="22"/>
        </w:rPr>
        <w:t>This is not only wasteful, but also results in rapid  buildup of condensed Se in the processing unit</w:t>
      </w:r>
      <w:r w:rsidR="00341F15">
        <w:rPr>
          <w:sz w:val="22"/>
          <w:szCs w:val="22"/>
        </w:rPr>
        <w:t xml:space="preserve"> requiring frequent cleaning which will limit uptime in a production environment</w:t>
      </w:r>
      <w:r w:rsidR="00D0252B">
        <w:rPr>
          <w:sz w:val="22"/>
          <w:szCs w:val="22"/>
        </w:rPr>
        <w:t xml:space="preserve">. The experiments that we are conducting are aimed at understanding and controlling the Se incorporation mechanism so that better management of Se can be designed into the processing unit. </w:t>
      </w:r>
      <w:r w:rsidR="00540656">
        <w:rPr>
          <w:sz w:val="22"/>
          <w:szCs w:val="22"/>
        </w:rPr>
        <w:t xml:space="preserve">Similar experiments directed toward optimizing use of </w:t>
      </w:r>
      <w:proofErr w:type="gramStart"/>
      <w:r w:rsidR="00540656">
        <w:rPr>
          <w:sz w:val="22"/>
          <w:szCs w:val="22"/>
        </w:rPr>
        <w:t>In</w:t>
      </w:r>
      <w:proofErr w:type="gramEnd"/>
      <w:r w:rsidR="00540656">
        <w:rPr>
          <w:sz w:val="22"/>
          <w:szCs w:val="22"/>
        </w:rPr>
        <w:t xml:space="preserve"> and </w:t>
      </w:r>
      <w:proofErr w:type="spellStart"/>
      <w:r w:rsidR="00540656">
        <w:rPr>
          <w:sz w:val="22"/>
          <w:szCs w:val="22"/>
        </w:rPr>
        <w:t>Ga</w:t>
      </w:r>
      <w:proofErr w:type="spellEnd"/>
      <w:r w:rsidR="00540656">
        <w:rPr>
          <w:sz w:val="22"/>
          <w:szCs w:val="22"/>
        </w:rPr>
        <w:t xml:space="preserve"> are also under way.</w:t>
      </w:r>
      <w:r w:rsidR="008F100C">
        <w:rPr>
          <w:b/>
          <w:sz w:val="22"/>
          <w:szCs w:val="22"/>
        </w:rPr>
        <w:tab/>
      </w:r>
    </w:p>
    <w:p w:rsidR="005155FC" w:rsidRPr="000F5026" w:rsidRDefault="005155FC" w:rsidP="00341F15">
      <w:pPr>
        <w:jc w:val="both"/>
        <w:rPr>
          <w:b/>
          <w:sz w:val="22"/>
          <w:szCs w:val="22"/>
        </w:rPr>
      </w:pPr>
    </w:p>
    <w:sectPr w:rsidR="005155FC" w:rsidRPr="000F5026" w:rsidSect="00EB412B">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23" w:rsidRDefault="00AE1323">
      <w:r>
        <w:separator/>
      </w:r>
    </w:p>
  </w:endnote>
  <w:endnote w:type="continuationSeparator" w:id="0">
    <w:p w:rsidR="00AE1323" w:rsidRDefault="00AE1323">
      <w:r>
        <w:continuationSeparator/>
      </w:r>
    </w:p>
  </w:endnote>
</w:endnotes>
</file>

<file path=word/fontTable.xml><?xml version="1.0" encoding="utf-8"?>
<w:fonts xmlns:r="http://schemas.openxmlformats.org/officeDocument/2006/relationships" xmlns:w="http://schemas.openxmlformats.org/wordprocessingml/2006/main">
  <w:font w:name="Palatino">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6E" w:rsidRDefault="008E08AF">
    <w:pPr>
      <w:pStyle w:val="Footer"/>
    </w:pPr>
    <w:r>
      <w:rPr>
        <w:noProof/>
      </w:rPr>
      <w:drawing>
        <wp:anchor distT="0" distB="0" distL="114300" distR="114300" simplePos="0" relativeHeight="251657216" behindDoc="0" locked="0" layoutInCell="1" allowOverlap="1">
          <wp:simplePos x="0" y="0"/>
          <wp:positionH relativeFrom="column">
            <wp:posOffset>1661160</wp:posOffset>
          </wp:positionH>
          <wp:positionV relativeFrom="paragraph">
            <wp:posOffset>-90170</wp:posOffset>
          </wp:positionV>
          <wp:extent cx="2162175" cy="57975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79755"/>
                  </a:xfrm>
                  <a:prstGeom prst="rect">
                    <a:avLst/>
                  </a:prstGeom>
                  <a:noFill/>
                </pic:spPr>
              </pic:pic>
            </a:graphicData>
          </a:graphic>
        </wp:anchor>
      </w:drawing>
    </w:r>
    <w:r w:rsidR="0032316E">
      <w:t xml:space="preserve">Page | </w:t>
    </w:r>
    <w:fldSimple w:instr=" PAGE   \* MERGEFORMAT ">
      <w:r w:rsidR="006B4F08">
        <w:rPr>
          <w:noProof/>
        </w:rPr>
        <w:t>1</w:t>
      </w:r>
    </w:fldSimple>
    <w:r w:rsidR="0032316E">
      <w:tab/>
    </w:r>
  </w:p>
  <w:p w:rsidR="0032316E" w:rsidRDefault="00323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23" w:rsidRDefault="00AE1323">
      <w:r>
        <w:separator/>
      </w:r>
    </w:p>
  </w:footnote>
  <w:footnote w:type="continuationSeparator" w:id="0">
    <w:p w:rsidR="00AE1323" w:rsidRDefault="00AE1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6E" w:rsidRPr="002A5DBD" w:rsidRDefault="008E08AF" w:rsidP="002A5DBD">
    <w:pPr>
      <w:pStyle w:val="Header"/>
      <w:jc w:val="center"/>
      <w:rPr>
        <w:rFonts w:ascii="Palatino" w:hAnsi="Palatino"/>
      </w:rPr>
    </w:pPr>
    <w:r>
      <w:rPr>
        <w:noProof/>
      </w:rPr>
      <w:drawing>
        <wp:anchor distT="0" distB="0" distL="114300" distR="114300" simplePos="0" relativeHeight="251658240" behindDoc="0" locked="0" layoutInCell="1" allowOverlap="1">
          <wp:simplePos x="0" y="0"/>
          <wp:positionH relativeFrom="column">
            <wp:posOffset>-26035</wp:posOffset>
          </wp:positionH>
          <wp:positionV relativeFrom="paragraph">
            <wp:posOffset>-156210</wp:posOffset>
          </wp:positionV>
          <wp:extent cx="1634490" cy="732790"/>
          <wp:effectExtent l="0" t="0" r="0" b="0"/>
          <wp:wrapNone/>
          <wp:docPr id="1" name="Picture 2" descr="fesc_logo_black_text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c_logo_black_text_transp"/>
                  <pic:cNvPicPr>
                    <a:picLocks noChangeAspect="1" noChangeArrowheads="1"/>
                  </pic:cNvPicPr>
                </pic:nvPicPr>
                <pic:blipFill>
                  <a:blip r:embed="rId1"/>
                  <a:srcRect/>
                  <a:stretch>
                    <a:fillRect/>
                  </a:stretch>
                </pic:blipFill>
                <pic:spPr bwMode="auto">
                  <a:xfrm>
                    <a:off x="0" y="0"/>
                    <a:ext cx="1634490" cy="7327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49"/>
    <w:multiLevelType w:val="hybridMultilevel"/>
    <w:tmpl w:val="F71ECBB8"/>
    <w:lvl w:ilvl="0" w:tplc="93360D56">
      <w:start w:val="1"/>
      <w:numFmt w:val="decimal"/>
      <w:lvlText w:val="%1."/>
      <w:lvlJc w:val="left"/>
      <w:pPr>
        <w:ind w:left="720" w:hanging="360"/>
      </w:pPr>
      <w:rPr>
        <w:rFonts w:ascii="Palatino" w:hAnsi="Palatin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40A08"/>
    <w:multiLevelType w:val="hybridMultilevel"/>
    <w:tmpl w:val="6AC440F8"/>
    <w:lvl w:ilvl="0" w:tplc="FE547B88">
      <w:start w:val="1"/>
      <w:numFmt w:val="decimal"/>
      <w:lvlText w:val="%1."/>
      <w:lvlJc w:val="left"/>
      <w:pPr>
        <w:tabs>
          <w:tab w:val="num" w:pos="360"/>
        </w:tabs>
        <w:ind w:left="360" w:hanging="360"/>
      </w:pPr>
      <w:rPr>
        <w:rFonts w:cs="Times New Roman" w:hint="default"/>
      </w:rPr>
    </w:lvl>
    <w:lvl w:ilvl="1" w:tplc="2166949E">
      <w:start w:val="1"/>
      <w:numFmt w:val="bullet"/>
      <w:lvlText w:val=""/>
      <w:lvlJc w:val="left"/>
      <w:pPr>
        <w:tabs>
          <w:tab w:val="num" w:pos="1080"/>
        </w:tabs>
        <w:ind w:left="1080" w:hanging="288"/>
      </w:pPr>
      <w:rPr>
        <w:rFonts w:ascii="Symbol" w:hAnsi="Symbol" w:hint="default"/>
        <w:caps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AFE666E"/>
    <w:multiLevelType w:val="hybridMultilevel"/>
    <w:tmpl w:val="067C07A4"/>
    <w:lvl w:ilvl="0" w:tplc="9E849D7C">
      <w:start w:val="1"/>
      <w:numFmt w:val="decimal"/>
      <w:lvlText w:val="%1."/>
      <w:lvlJc w:val="left"/>
      <w:pPr>
        <w:tabs>
          <w:tab w:val="num" w:pos="720"/>
        </w:tabs>
        <w:ind w:left="720" w:hanging="360"/>
      </w:pPr>
      <w:rPr>
        <w:rFonts w:eastAsia="Batang" w:cs="Times New Roman" w:hint="default"/>
        <w:color w:val="000F2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AB254E1"/>
    <w:multiLevelType w:val="hybridMultilevel"/>
    <w:tmpl w:val="7E7615C4"/>
    <w:lvl w:ilvl="0" w:tplc="CFCC49E6">
      <w:start w:val="1"/>
      <w:numFmt w:val="upperRoman"/>
      <w:lvlText w:val="%1."/>
      <w:lvlJc w:val="right"/>
      <w:pPr>
        <w:tabs>
          <w:tab w:val="num" w:pos="270"/>
        </w:tabs>
        <w:ind w:left="270" w:hanging="180"/>
      </w:pPr>
      <w:rPr>
        <w:rFonts w:cs="Times New Roman"/>
        <w:b/>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4">
    <w:nsid w:val="545761E4"/>
    <w:multiLevelType w:val="hybridMultilevel"/>
    <w:tmpl w:val="7E8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E2ACD"/>
    <w:multiLevelType w:val="hybridMultilevel"/>
    <w:tmpl w:val="48FC66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6D2B54A4"/>
    <w:multiLevelType w:val="hybridMultilevel"/>
    <w:tmpl w:val="BFD8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7C63F5"/>
    <w:multiLevelType w:val="hybridMultilevel"/>
    <w:tmpl w:val="18F2623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1193E"/>
    <w:rsid w:val="00004BDE"/>
    <w:rsid w:val="00005A34"/>
    <w:rsid w:val="00010242"/>
    <w:rsid w:val="0003433D"/>
    <w:rsid w:val="00041777"/>
    <w:rsid w:val="000B179D"/>
    <w:rsid w:val="000B733C"/>
    <w:rsid w:val="000D6077"/>
    <w:rsid w:val="000E03D5"/>
    <w:rsid w:val="000F101E"/>
    <w:rsid w:val="000F3A61"/>
    <w:rsid w:val="000F5026"/>
    <w:rsid w:val="001016D0"/>
    <w:rsid w:val="00114F59"/>
    <w:rsid w:val="00155538"/>
    <w:rsid w:val="00164063"/>
    <w:rsid w:val="001C2E65"/>
    <w:rsid w:val="00240C9A"/>
    <w:rsid w:val="002563AD"/>
    <w:rsid w:val="00272AD9"/>
    <w:rsid w:val="002A5DBD"/>
    <w:rsid w:val="002A613F"/>
    <w:rsid w:val="002D6FC2"/>
    <w:rsid w:val="002F1E56"/>
    <w:rsid w:val="00301A80"/>
    <w:rsid w:val="0032316E"/>
    <w:rsid w:val="003331E7"/>
    <w:rsid w:val="00341F15"/>
    <w:rsid w:val="00361F4C"/>
    <w:rsid w:val="003641A5"/>
    <w:rsid w:val="00393BAB"/>
    <w:rsid w:val="00397A36"/>
    <w:rsid w:val="003A0A22"/>
    <w:rsid w:val="003A5147"/>
    <w:rsid w:val="0040550E"/>
    <w:rsid w:val="004110AD"/>
    <w:rsid w:val="0041645D"/>
    <w:rsid w:val="00435EEC"/>
    <w:rsid w:val="00441940"/>
    <w:rsid w:val="0046058B"/>
    <w:rsid w:val="0046306B"/>
    <w:rsid w:val="0047258B"/>
    <w:rsid w:val="00481E9F"/>
    <w:rsid w:val="004A6577"/>
    <w:rsid w:val="004A6774"/>
    <w:rsid w:val="004B0A6A"/>
    <w:rsid w:val="004B664C"/>
    <w:rsid w:val="004D47A5"/>
    <w:rsid w:val="004E6E6C"/>
    <w:rsid w:val="004E7344"/>
    <w:rsid w:val="004F0AB6"/>
    <w:rsid w:val="004F6552"/>
    <w:rsid w:val="00510E23"/>
    <w:rsid w:val="00513301"/>
    <w:rsid w:val="005155FC"/>
    <w:rsid w:val="00523E89"/>
    <w:rsid w:val="00540656"/>
    <w:rsid w:val="005B7445"/>
    <w:rsid w:val="006238E5"/>
    <w:rsid w:val="006314C6"/>
    <w:rsid w:val="006577CE"/>
    <w:rsid w:val="00657CF0"/>
    <w:rsid w:val="00667F64"/>
    <w:rsid w:val="0067261C"/>
    <w:rsid w:val="00676B35"/>
    <w:rsid w:val="006772F5"/>
    <w:rsid w:val="00697390"/>
    <w:rsid w:val="006B4F08"/>
    <w:rsid w:val="006C079C"/>
    <w:rsid w:val="006D4B00"/>
    <w:rsid w:val="006D6C47"/>
    <w:rsid w:val="006E17DD"/>
    <w:rsid w:val="00715DFD"/>
    <w:rsid w:val="00731ED1"/>
    <w:rsid w:val="0073296C"/>
    <w:rsid w:val="007338A8"/>
    <w:rsid w:val="007412EF"/>
    <w:rsid w:val="00766B5D"/>
    <w:rsid w:val="00785057"/>
    <w:rsid w:val="00796E34"/>
    <w:rsid w:val="007A1D18"/>
    <w:rsid w:val="007A30F7"/>
    <w:rsid w:val="007A4F8E"/>
    <w:rsid w:val="007E386C"/>
    <w:rsid w:val="0082284D"/>
    <w:rsid w:val="0084692F"/>
    <w:rsid w:val="00873A4C"/>
    <w:rsid w:val="00883A19"/>
    <w:rsid w:val="00884DF8"/>
    <w:rsid w:val="00896EA4"/>
    <w:rsid w:val="008A570B"/>
    <w:rsid w:val="008E08AF"/>
    <w:rsid w:val="008F0857"/>
    <w:rsid w:val="008F100C"/>
    <w:rsid w:val="009160D8"/>
    <w:rsid w:val="00916FD7"/>
    <w:rsid w:val="00936F1C"/>
    <w:rsid w:val="00954A98"/>
    <w:rsid w:val="009615E0"/>
    <w:rsid w:val="00985397"/>
    <w:rsid w:val="009948C9"/>
    <w:rsid w:val="009F0705"/>
    <w:rsid w:val="00A25570"/>
    <w:rsid w:val="00A33CCE"/>
    <w:rsid w:val="00A46D6A"/>
    <w:rsid w:val="00A601BD"/>
    <w:rsid w:val="00A64F25"/>
    <w:rsid w:val="00A666C3"/>
    <w:rsid w:val="00A71AC7"/>
    <w:rsid w:val="00A77419"/>
    <w:rsid w:val="00A9670B"/>
    <w:rsid w:val="00A96718"/>
    <w:rsid w:val="00AA61B1"/>
    <w:rsid w:val="00AC0133"/>
    <w:rsid w:val="00AE1323"/>
    <w:rsid w:val="00B153C1"/>
    <w:rsid w:val="00B158A0"/>
    <w:rsid w:val="00B21AB3"/>
    <w:rsid w:val="00B56393"/>
    <w:rsid w:val="00B87897"/>
    <w:rsid w:val="00BA4F24"/>
    <w:rsid w:val="00BD2221"/>
    <w:rsid w:val="00BF57E2"/>
    <w:rsid w:val="00C1193E"/>
    <w:rsid w:val="00C36382"/>
    <w:rsid w:val="00C36FC1"/>
    <w:rsid w:val="00C54CEA"/>
    <w:rsid w:val="00C746A7"/>
    <w:rsid w:val="00C80923"/>
    <w:rsid w:val="00C856AF"/>
    <w:rsid w:val="00C921FC"/>
    <w:rsid w:val="00C92366"/>
    <w:rsid w:val="00CA4CB7"/>
    <w:rsid w:val="00CA7652"/>
    <w:rsid w:val="00CB42C1"/>
    <w:rsid w:val="00CB697F"/>
    <w:rsid w:val="00CC691E"/>
    <w:rsid w:val="00D004D3"/>
    <w:rsid w:val="00D0252B"/>
    <w:rsid w:val="00D13B81"/>
    <w:rsid w:val="00D16166"/>
    <w:rsid w:val="00D46B24"/>
    <w:rsid w:val="00D47705"/>
    <w:rsid w:val="00D62973"/>
    <w:rsid w:val="00DC6854"/>
    <w:rsid w:val="00DC7A1C"/>
    <w:rsid w:val="00DD79FA"/>
    <w:rsid w:val="00DE308C"/>
    <w:rsid w:val="00DE34F3"/>
    <w:rsid w:val="00DF0764"/>
    <w:rsid w:val="00E3692C"/>
    <w:rsid w:val="00E41905"/>
    <w:rsid w:val="00E7530E"/>
    <w:rsid w:val="00E82CBC"/>
    <w:rsid w:val="00EA1A03"/>
    <w:rsid w:val="00EA1A98"/>
    <w:rsid w:val="00EA52F9"/>
    <w:rsid w:val="00EA7BF4"/>
    <w:rsid w:val="00EB412B"/>
    <w:rsid w:val="00EF1F72"/>
    <w:rsid w:val="00EF4143"/>
    <w:rsid w:val="00F04459"/>
    <w:rsid w:val="00F10F91"/>
    <w:rsid w:val="00F13D4A"/>
    <w:rsid w:val="00F1686E"/>
    <w:rsid w:val="00F407ED"/>
    <w:rsid w:val="00F474F5"/>
    <w:rsid w:val="00F6028D"/>
    <w:rsid w:val="00F738A6"/>
    <w:rsid w:val="00F74FAE"/>
    <w:rsid w:val="00F7619A"/>
    <w:rsid w:val="00FA1BF3"/>
    <w:rsid w:val="00FA2CCE"/>
    <w:rsid w:val="00FB3769"/>
    <w:rsid w:val="00FB4139"/>
    <w:rsid w:val="00FB7E14"/>
    <w:rsid w:val="00FF281A"/>
    <w:rsid w:val="00FF3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5DBD"/>
    <w:pPr>
      <w:tabs>
        <w:tab w:val="center" w:pos="4320"/>
        <w:tab w:val="right" w:pos="8640"/>
      </w:tabs>
    </w:pPr>
  </w:style>
  <w:style w:type="character" w:customStyle="1" w:styleId="HeaderChar">
    <w:name w:val="Header Char"/>
    <w:basedOn w:val="DefaultParagraphFont"/>
    <w:link w:val="Header"/>
    <w:uiPriority w:val="99"/>
    <w:semiHidden/>
    <w:rsid w:val="004165F0"/>
    <w:rPr>
      <w:sz w:val="24"/>
      <w:szCs w:val="24"/>
    </w:rPr>
  </w:style>
  <w:style w:type="paragraph" w:styleId="Footer">
    <w:name w:val="footer"/>
    <w:basedOn w:val="Normal"/>
    <w:link w:val="FooterChar"/>
    <w:uiPriority w:val="99"/>
    <w:rsid w:val="002A5DBD"/>
    <w:pPr>
      <w:tabs>
        <w:tab w:val="center" w:pos="4320"/>
        <w:tab w:val="right" w:pos="8640"/>
      </w:tabs>
    </w:pPr>
  </w:style>
  <w:style w:type="character" w:customStyle="1" w:styleId="FooterChar">
    <w:name w:val="Footer Char"/>
    <w:basedOn w:val="DefaultParagraphFont"/>
    <w:link w:val="Footer"/>
    <w:uiPriority w:val="99"/>
    <w:locked/>
    <w:rsid w:val="004F0AB6"/>
    <w:rPr>
      <w:rFonts w:cs="Times New Roman"/>
      <w:sz w:val="24"/>
      <w:szCs w:val="24"/>
    </w:rPr>
  </w:style>
  <w:style w:type="paragraph" w:styleId="BalloonText">
    <w:name w:val="Balloon Text"/>
    <w:basedOn w:val="Normal"/>
    <w:link w:val="BalloonTextChar"/>
    <w:uiPriority w:val="99"/>
    <w:semiHidden/>
    <w:rsid w:val="00A96718"/>
    <w:rPr>
      <w:rFonts w:ascii="Tahoma" w:hAnsi="Tahoma" w:cs="Tahoma"/>
      <w:sz w:val="16"/>
      <w:szCs w:val="16"/>
    </w:rPr>
  </w:style>
  <w:style w:type="character" w:customStyle="1" w:styleId="BalloonTextChar">
    <w:name w:val="Balloon Text Char"/>
    <w:basedOn w:val="DefaultParagraphFont"/>
    <w:link w:val="BalloonText"/>
    <w:uiPriority w:val="99"/>
    <w:semiHidden/>
    <w:rsid w:val="004165F0"/>
    <w:rPr>
      <w:sz w:val="0"/>
      <w:szCs w:val="0"/>
    </w:rPr>
  </w:style>
  <w:style w:type="table" w:styleId="TableGrid">
    <w:name w:val="Table Grid"/>
    <w:basedOn w:val="TableNormal"/>
    <w:uiPriority w:val="99"/>
    <w:rsid w:val="00E753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4F0AB6"/>
    <w:rPr>
      <w:rFonts w:ascii="Tahoma" w:hAnsi="Tahoma" w:cs="Tahoma"/>
      <w:sz w:val="16"/>
      <w:szCs w:val="16"/>
    </w:rPr>
  </w:style>
  <w:style w:type="character" w:customStyle="1" w:styleId="DocumentMapChar">
    <w:name w:val="Document Map Char"/>
    <w:basedOn w:val="DefaultParagraphFont"/>
    <w:link w:val="DocumentMap"/>
    <w:uiPriority w:val="99"/>
    <w:locked/>
    <w:rsid w:val="004F0AB6"/>
    <w:rPr>
      <w:rFonts w:ascii="Tahoma" w:hAnsi="Tahoma" w:cs="Tahoma"/>
      <w:sz w:val="16"/>
      <w:szCs w:val="16"/>
    </w:rPr>
  </w:style>
  <w:style w:type="paragraph" w:styleId="ListParagraph">
    <w:name w:val="List Paragraph"/>
    <w:basedOn w:val="Normal"/>
    <w:uiPriority w:val="99"/>
    <w:qFormat/>
    <w:rsid w:val="002D6FC2"/>
    <w:pPr>
      <w:ind w:left="720"/>
    </w:pPr>
    <w:rPr>
      <w:rFonts w:eastAsia="MS Mincho"/>
      <w:lang w:eastAsia="ja-JP"/>
    </w:rPr>
  </w:style>
  <w:style w:type="character" w:styleId="Hyperlink">
    <w:name w:val="Hyperlink"/>
    <w:basedOn w:val="DefaultParagraphFont"/>
    <w:uiPriority w:val="99"/>
    <w:rsid w:val="0067261C"/>
    <w:rPr>
      <w:rFonts w:cs="Times New Roman"/>
      <w:color w:val="0000FF"/>
      <w:u w:val="single"/>
    </w:rPr>
  </w:style>
  <w:style w:type="paragraph" w:styleId="Caption">
    <w:name w:val="caption"/>
    <w:basedOn w:val="Normal"/>
    <w:next w:val="Normal"/>
    <w:unhideWhenUsed/>
    <w:qFormat/>
    <w:locked/>
    <w:rsid w:val="00D0252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Required Information</vt:lpstr>
    </vt:vector>
  </TitlesOfParts>
  <Company>Barbour Griffith &amp; Rogers</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Information</dc:title>
  <dc:subject/>
  <dc:creator>Bill Viney</dc:creator>
  <cp:keywords/>
  <dc:description/>
  <cp:lastModifiedBy>grahambj</cp:lastModifiedBy>
  <cp:revision>2</cp:revision>
  <cp:lastPrinted>2009-02-03T21:50:00Z</cp:lastPrinted>
  <dcterms:created xsi:type="dcterms:W3CDTF">2010-07-18T12:21:00Z</dcterms:created>
  <dcterms:modified xsi:type="dcterms:W3CDTF">2010-07-18T12:21:00Z</dcterms:modified>
</cp:coreProperties>
</file>